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公共卫生学院信息发布电子屏建设项目采购</w:t>
      </w:r>
    </w:p>
    <w:tbl>
      <w:tblPr>
        <w:tblStyle w:val="2"/>
        <w:tblW w:w="13350" w:type="dxa"/>
        <w:tblInd w:w="0" w:type="dxa"/>
        <w:shd w:val="clear" w:color="auto" w:fill="auto"/>
        <w:tblLayout w:type="fixed"/>
        <w:tblCellMar>
          <w:top w:w="0" w:type="dxa"/>
          <w:left w:w="0" w:type="dxa"/>
          <w:bottom w:w="0" w:type="dxa"/>
          <w:right w:w="0" w:type="dxa"/>
        </w:tblCellMar>
      </w:tblPr>
      <w:tblGrid>
        <w:gridCol w:w="675"/>
        <w:gridCol w:w="1239"/>
        <w:gridCol w:w="6475"/>
        <w:gridCol w:w="725"/>
        <w:gridCol w:w="712"/>
        <w:gridCol w:w="1438"/>
        <w:gridCol w:w="1411"/>
        <w:gridCol w:w="675"/>
      </w:tblGrid>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6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技术参数要求</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单价（元）</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P2.5 LED全高清全彩显示屏</w:t>
            </w:r>
          </w:p>
        </w:tc>
        <w:tc>
          <w:tcPr>
            <w:tcW w:w="6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numId w:val="0"/>
              </w:numPr>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品牌型号：丰视FS-EIA2.5S-D</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1、像素结构  共阴灯原理设计</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2、像素间距（mm）2.5 灯芯的波长误差值在±1nm之内，每个灯芯的亮度误差在5%以内</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3、LED显示屏反光率≤5%</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4、调节精度0.01mm</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5、泄露电源电流应不大于5 mA (AC峰值)</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6、带电黑屏功率≤20W/㎡</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7、校正曲线支持γ校正曲线≥20 条</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8、具备提升图像 清晰度、对比度、饱和度和流畅度的技术</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★9、以上参数（1到8项）提供具有CMA、CNAS及MRA标识的第三方检测报告复印件；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10、模组分辨率（W×H）128×64=8192</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11、模组尺寸（mm）320×160×14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12、模组重量（kg） 0.32</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13、模组输入电压（V） 5±0.1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14、模组最大电流（A） ≤6</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15、模组最大功耗（W） ≤30</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★16、带电维护模组、电源及箱体内部其他组件均支持带电热插拔提供具有CMA、CNAS及MRA标识的第三方检测报告复印件；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17、像素密度（点/m2）160000</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18、平整度（mm） ≤0.2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19、单点亮度校正 有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20、单点色度校正 有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21、白平衡亮度（nits） ≥500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22、具有LED亮度调节装置，</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23、视角（水平/垂直°） 140/120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★24、为保护用电安全需提供异常掉电保护电路供电设备和计算机设备，提供国家权威机构出具的证书或权威检测报告；</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25、对比度 5000:1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26、最大功耗W/㎡ 586 平均功耗W/㎡ 196</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27、换帧频率（Hz） 50&amp;60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28、驱动方式 恒流驱动，32扫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29、灰度级别 16384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30、刷新率（Hz） 1920Hz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31、颜色处理位数 14bit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★32、抗干扰运行稳定，不受电源端子传导干扰、不受射频电磁场辐射干扰、不受射频场感应传导干扰提供具有CMA、CNAS及MRA标识的第三方检测报告复印件；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33、寿命典型值（hrs） 100,000H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34、工作温/湿度范围（℃/RH） -20℃– 50℃ / 10%-65%RH（无结露）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35、存储温/湿度范围（℃/RH） -10℃– 30℃ / 10%-60%RH（无结露） </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 LED显示屏正常使用达到热平衡后，屏体结构金属部分温升不超过45K，绝缘材料温升不超过70K，表面不超过15℃提供具有CMA、CNAS及MRA标识的第三方检测报告复印件；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★37、为了保证配套软件产品成熟稳定可靠，要求显示屏生产厂家达到CMMI成熟度5级（提供证明材料复印件）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★38、产品经过抗振、抗冲击、抗碰撞、跌落 检测，应能正常工作提供具有CMA、CNAS及MRA标识的第三方检测报告复印件；</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屏体包装结构：大屏幕安装配套，要求抗绣，抗腐蚀，稳定牢固，不允许存在安全隐患。</w:t>
            </w:r>
          </w:p>
          <w:p>
            <w:pPr>
              <w:keepNext w:val="0"/>
              <w:keepLines w:val="0"/>
              <w:widowControl/>
              <w:numPr>
                <w:ilvl w:val="0"/>
                <w:numId w:val="1"/>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配套原厂大屏播放系统；</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★41、服务要求：为保障专业化的技术服务，要求报价文件提供生产厂商针对此项目出具的3年免费服务承诺函。</w:t>
            </w:r>
          </w:p>
        </w:tc>
        <w:tc>
          <w:tcPr>
            <w:tcW w:w="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
                <w:lang w:val="en-US" w:eastAsia="zh-CN" w:bidi="ar"/>
              </w:rPr>
              <w:t>m2</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3.68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￥31,280.00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接收卡</w:t>
            </w:r>
          </w:p>
        </w:tc>
        <w:tc>
          <w:tcPr>
            <w:tcW w:w="6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numId w:val="0"/>
              </w:numPr>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品牌型号：丰视FS-LCE16</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1、单卡支持16组和32组数据输出模式；</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2、单卡自带16个HUB75  16P接口；</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3、单卡带载像素128*1024/256*512。</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4、支持逐点亮色度校正、多批次、亮暗线调节和显示屏效果调节等功能，</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5、★具有鱼眼图像校正功能并提供该功能第三方检测报告或权威证书；（提供证明材料复印件）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6、支持接收卡预存画面和保留最后一帧设置；</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7、支持灯板flash管理；</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8、支持5pin液晶模块；</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9、支持千兆网，可通过网线直接连接PC端进行调试和显示；</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10、支持接收卡参数及程序包回读；</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11、★投标人所投LED显示屏产品具备权威机构出具的LED显示屏智能检测及修复校正软件证书（提供证明材料复印件）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12、★支持热备份系统中的第一主机及热备份系统的功能并提供该功能第三方检测报告或证书（提供证明材料复印件）；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★13、为保证产品的稳定性，易维性，兼容性，要求LED显示屏，接收卡为同一个品牌或厂家。</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★14、服务要求：为保障专业化的技术服务，要求报价文件提供生产厂商针对此项目出具的3年免费服务承诺函。</w:t>
            </w:r>
          </w:p>
        </w:tc>
        <w:tc>
          <w:tcPr>
            <w:tcW w:w="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大屏播放系统</w:t>
            </w:r>
          </w:p>
        </w:tc>
        <w:tc>
          <w:tcPr>
            <w:tcW w:w="6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品牌型号：丰视V1.0</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1、多显示屏导播:软件可同时导播多个映射位置不同的显示屏，每个显示屏可设置不同的播放方案；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2、远程显示屏管理通过一台计算机的操作远程控制和发布播放方案到显示屏；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3、多日期多时段调度功能:可设置不同的日期和时间播放不同的节目页内容；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4、多节目页功能:每个播放时段可包含多个“窗口布局不同的节目页”；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5、节目页多窗口功能:每个节目页可添加多个窗口，窗口的大小和位置可任意设置；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6、多种媒体类型:支持视频，音频、图片、Flash、自定义文本、单行文本、静态文本、走马灯、模拟时钟、数字时钟、天气预报、倒计时、视频设备、网页等；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7、丰富的媒体属性:支持媒体的背景颜色、背景图片、透明度、音量、显示比例、出入场特效、特效速度、文字颜色、文字效果、字体、风格、透明等属性设置；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8、多种文字图片特效，平滑流畅:40多种常用特效，且播放时平滑流畅，无水平切割线，无撕裂；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9、防止视频长时间播放卡死功能:视频播放过程中，若由于解码器或计算机性能或资源的问题，出现长时间（大于10s）的画面和声音卡死，软件会迅速恢复，切换到下一个媒体播放；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10、支持时钟、倒计时、文字、文件、天气预报的透明播放；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11、PPT播放功能:紧急插播和即时通知功能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12、开机自启动和启动自动播放；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13、自带解码器包，支持多种常用格式视频，长时间稳定播放，并且能根据客户需求实时更新解码包；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14、实用的日志管理功能,可查看任意日期的播放日志，或导出为Execel报表文件,可对任意日期的媒体做播放统计,并导出为Excel报表文件;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15、硬盘备份功能:可将当前的播放方案和包含的全部媒体备份到指定的硬盘位置,可监测U盘的插入，并自动播放U盘中的播放方案；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16、方案导出到U盘绑定MAC地址:导出到U盘的方案仅能在被绑定了MAC地址的计算机即插即播，安全可靠。</w:t>
            </w:r>
          </w:p>
        </w:tc>
        <w:tc>
          <w:tcPr>
            <w:tcW w:w="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大屏电源</w:t>
            </w:r>
          </w:p>
        </w:tc>
        <w:tc>
          <w:tcPr>
            <w:tcW w:w="6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品牌型号：丰视FS-DE200-5V</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1、输入电压范围： 176～264VAC  额定输出电压：5VDC；</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2、纹波和噪声：150mVp-p；</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3、过载保护：额定负载的110~150%范围内电源保护，去载恢复正常输出；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4、短路保护：输出端短路时电源保护，输出关断，去掉短路恢复正常输出；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5、安全标准：符合GB4943-2001，UL1012；</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6、抗电强度：I/P-O/P、I/P-FG：1.5KVAC    O/P-FG：0.5KVAC；</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7、绝缘电阻：I/P-O/P、I/P-FG、O/P-FG：100MΩ/500VDC；</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8、（电磁干扰）传导和辐射：符合EN55022，Class B；</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9、平均无故障工作时间（MTBF）：100，000小时。</w:t>
            </w:r>
          </w:p>
        </w:tc>
        <w:tc>
          <w:tcPr>
            <w:tcW w:w="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信息发布管理工作站</w:t>
            </w:r>
          </w:p>
        </w:tc>
        <w:tc>
          <w:tcPr>
            <w:tcW w:w="6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品牌型号：惠普Z1G5</w:t>
            </w:r>
          </w:p>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1、处理器：英特尔 i5-9500 及以上；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2、内存：≥8G DDR4 2666MHz 内存，≥4 根 DIMM插槽，最大内存：≥128GB；；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3、硬盘：≥1TB 机械硬盘；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4、显卡：核心显卡；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5、键盘鼠标：USB 键盘鼠标；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★6、扩展插槽：≥1 个 PCIe 3 x16；≥2 个 PCIe 3 x1；≥1 个 PCIe x16(可作为 x4 链接)；≥2 个 M.2 2230/2280 端口；（投标文件中提供彩页扫描件）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★7、端口：前置：≥1 个耳机接口；≥1 个 USB 2.0； ≥2 个 USB 3.1Gen 2； ≥1 个 USB 2.0（快速充电）；≥1 个 USB 3.1 Type-C，后置：≥2 个 USB2.0；≥2 个 USB 3.1 Gen 1；≥2 个 USB 3.1 Gen2；≥1 个RJ-45（1 GbE）；≥1 个音频线路输出；≥1 个音频线路输入；≥2 个 DisplayPort；（投标文件中提供彩页扫描件）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★8、电源：≥500 瓦，≥92% 能效.有源 PFC，最大支持≥500 瓦；（投标文件中提供彩页扫描件）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9、网络：集成英特尔千兆网络控制器，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10、内置 DVDRW 刻录光驱；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★11、提供原厂预装的性能优化软件：可针对应用程序进行主动优化，以尽可能快的速度运行热门的独立软件供应商(ISV)应用程序（投标文件中提供软件功能截图）；</w:t>
            </w:r>
          </w:p>
          <w:p>
            <w:pPr>
              <w:keepNext w:val="0"/>
              <w:keepLines w:val="0"/>
              <w:widowControl/>
              <w:numPr>
                <w:numId w:val="0"/>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12、服务要求：为保障专业化的技术服务，要求报价文件提供生产厂商针对此项目出具的3年免费服务承诺函。</w:t>
            </w:r>
          </w:p>
        </w:tc>
        <w:tc>
          <w:tcPr>
            <w:tcW w:w="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￥4,680.00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￥4,680.00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线材</w:t>
            </w:r>
          </w:p>
        </w:tc>
        <w:tc>
          <w:tcPr>
            <w:tcW w:w="6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品牌型号：国产定制</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电源线、音频视频信号线，满足使用要求</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6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品牌型号：国产定制</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连接线、接头、插头等使用要求</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67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系统集成</w:t>
            </w:r>
          </w:p>
        </w:tc>
        <w:tc>
          <w:tcPr>
            <w:tcW w:w="64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品牌型号：国产定制</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1、布线穿管，强弱电分离；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2、采用标准化、模块化布线系统；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3、每条线路做标识，线路一次成形；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4、充分考虑未来增长需求预留扩展备用空间；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5、预留线路接口及管道，便于后期扩容对接；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6、系统整体联动调试。</w:t>
            </w:r>
          </w:p>
        </w:tc>
        <w:tc>
          <w:tcPr>
            <w:tcW w:w="72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712"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438"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￥3,000.00</w:t>
            </w:r>
          </w:p>
        </w:tc>
        <w:tc>
          <w:tcPr>
            <w:tcW w:w="141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bookmarkStart w:id="0" w:name="_GoBack"/>
            <w:bookmarkEnd w:id="0"/>
            <w:r>
              <w:rPr>
                <w:rFonts w:hint="eastAsia" w:ascii="宋体" w:hAnsi="宋体" w:eastAsia="宋体" w:cs="宋体"/>
                <w:i w:val="0"/>
                <w:color w:val="000000"/>
                <w:kern w:val="0"/>
                <w:sz w:val="22"/>
                <w:szCs w:val="22"/>
                <w:u w:val="none"/>
                <w:lang w:val="en-US" w:eastAsia="zh-CN" w:bidi="ar"/>
              </w:rPr>
              <w:t>,000.00</w:t>
            </w:r>
          </w:p>
        </w:tc>
        <w:tc>
          <w:tcPr>
            <w:tcW w:w="67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982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￥45,360.00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jc w:val="both"/>
        <w:rPr>
          <w:rFonts w:hint="eastAsia" w:ascii="宋体" w:hAnsi="宋体" w:eastAsia="宋体" w:cs="宋体"/>
          <w:b/>
          <w:i w:val="0"/>
          <w:color w:val="000000"/>
          <w:kern w:val="0"/>
          <w:sz w:val="32"/>
          <w:szCs w:val="32"/>
          <w:u w:val="none"/>
          <w:lang w:val="en-US" w:eastAsia="zh-CN" w:bidi="ar"/>
        </w:rPr>
      </w:pPr>
    </w:p>
    <w:p>
      <w:pPr>
        <w:jc w:val="both"/>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询价办法：</w:t>
      </w:r>
    </w:p>
    <w:p>
      <w:pPr>
        <w:ind w:firstLine="420" w:firstLineChars="0"/>
        <w:jc w:val="both"/>
        <w:rPr>
          <w:rFonts w:hint="default" w:ascii="微软雅黑" w:hAnsi="微软雅黑" w:eastAsia="微软雅黑" w:cs="微软雅黑"/>
          <w:b w:val="0"/>
          <w:bCs/>
          <w:i w:val="0"/>
          <w:caps w:val="0"/>
          <w:color w:val="666666"/>
          <w:spacing w:val="0"/>
          <w:sz w:val="28"/>
          <w:szCs w:val="28"/>
          <w:lang w:val="en-US" w:eastAsia="zh-CN"/>
        </w:rPr>
      </w:pPr>
      <w:r>
        <w:rPr>
          <w:rFonts w:hint="eastAsia" w:ascii="宋体" w:hAnsi="宋体" w:eastAsia="宋体" w:cs="宋体"/>
          <w:b w:val="0"/>
          <w:bCs/>
          <w:i w:val="0"/>
          <w:color w:val="000000"/>
          <w:kern w:val="0"/>
          <w:sz w:val="28"/>
          <w:szCs w:val="28"/>
          <w:u w:val="none"/>
          <w:lang w:val="en-US" w:eastAsia="zh-CN" w:bidi="ar"/>
        </w:rPr>
        <w:t>本次询价采用有效最低价评比法，各竞价人在满足询价文件的技术参数、响应资料、竞价上限等实质性要求的前提下，按照询价文件中规定的价格评价，由低到高排出中标候选人，最低的有效投标报价即为有效最低价。超出项目预算总价或不满足技术参数要求或未提供产品证明材料的，竞价文件无效，不参与报价评比。</w:t>
      </w:r>
    </w:p>
    <w:p>
      <w:pPr>
        <w:jc w:val="left"/>
        <w:rPr>
          <w:rFonts w:hint="eastAsia" w:asciiTheme="majorEastAsia" w:hAnsiTheme="majorEastAsia" w:eastAsiaTheme="majorEastAsia" w:cstheme="majorEastAsia"/>
          <w:b/>
          <w:bCs/>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4FCDC"/>
    <w:multiLevelType w:val="singleLevel"/>
    <w:tmpl w:val="10D4FCDC"/>
    <w:lvl w:ilvl="0" w:tentative="0">
      <w:start w:val="39"/>
      <w:numFmt w:val="decimal"/>
      <w:suff w:val="nothing"/>
      <w:lvlText w:val="%1、"/>
      <w:lvlJc w:val="left"/>
    </w:lvl>
  </w:abstractNum>
  <w:abstractNum w:abstractNumId="1">
    <w:nsid w:val="50B6138C"/>
    <w:multiLevelType w:val="singleLevel"/>
    <w:tmpl w:val="50B6138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23FA"/>
    <w:rsid w:val="0C465941"/>
    <w:rsid w:val="371D25A0"/>
    <w:rsid w:val="38B67295"/>
    <w:rsid w:val="39AC2B1B"/>
    <w:rsid w:val="44F73132"/>
    <w:rsid w:val="655F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2021-02-25T05:32:00Z</dcterms:created>
  <dcterms:modified xsi:type="dcterms:W3CDTF">2021-05-05T16:25:52Z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68FA373DB69244A0AD52885BAFA2BE87</vt:lpwstr>
  </property>
</Properties>
</file>